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084775C" w:rsidR="00142D47" w:rsidRDefault="00DE4B43">
      <w:pPr>
        <w:spacing w:after="0"/>
        <w:rPr>
          <w:rFonts w:ascii="Arial" w:hAnsi="Arial" w:cs="Arial"/>
          <w:b/>
        </w:rPr>
      </w:pPr>
      <w:r>
        <w:rPr>
          <w:rFonts w:ascii="Arial" w:hAnsi="Arial" w:cs="Arial"/>
          <w:b/>
        </w:rPr>
        <w:t>Señora</w:t>
      </w:r>
      <w:bookmarkStart w:id="0" w:name="_GoBack"/>
      <w:bookmarkEnd w:id="0"/>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35D52DF5" w14:textId="77777777" w:rsidR="00DE4B43" w:rsidRDefault="00DE4B43" w:rsidP="00DE4B43">
      <w:pPr>
        <w:spacing w:after="0" w:line="240" w:lineRule="auto"/>
        <w:rPr>
          <w:rFonts w:ascii="Arial" w:hAnsi="Arial" w:cs="Arial"/>
        </w:rPr>
      </w:pPr>
      <w:r>
        <w:rPr>
          <w:rFonts w:ascii="Arial" w:hAnsi="Arial" w:cs="Arial"/>
        </w:rPr>
        <w:t>Apreciada Señora:</w:t>
      </w:r>
    </w:p>
    <w:p w14:paraId="4E50D397" w14:textId="77777777" w:rsidR="00DE4B43" w:rsidRDefault="00DE4B43" w:rsidP="00DE4B43">
      <w:pPr>
        <w:spacing w:after="0" w:line="240" w:lineRule="auto"/>
        <w:jc w:val="both"/>
        <w:rPr>
          <w:rFonts w:ascii="Arial" w:hAnsi="Arial" w:cs="Arial"/>
          <w:color w:val="0D0D0D" w:themeColor="text1" w:themeTint="F2"/>
        </w:rPr>
      </w:pPr>
    </w:p>
    <w:p w14:paraId="0DD21B8E" w14:textId="77777777" w:rsidR="00DE4B43" w:rsidRDefault="00DE4B43" w:rsidP="00DE4B43">
      <w:pPr>
        <w:spacing w:after="0" w:line="240" w:lineRule="auto"/>
        <w:jc w:val="both"/>
        <w:rPr>
          <w:rFonts w:ascii="Arial" w:hAnsi="Arial" w:cs="Arial"/>
          <w:color w:val="0D0D0D" w:themeColor="text1" w:themeTint="F2"/>
        </w:rPr>
      </w:pPr>
      <w:r>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14:paraId="5077C5F1" w14:textId="77777777" w:rsidR="00DE4B43" w:rsidRDefault="00DE4B43" w:rsidP="00DE4B43">
      <w:pPr>
        <w:spacing w:after="0" w:line="240" w:lineRule="auto"/>
        <w:jc w:val="both"/>
        <w:rPr>
          <w:rFonts w:ascii="Arial" w:eastAsia="Arial" w:hAnsi="Arial" w:cs="Arial"/>
        </w:rPr>
      </w:pPr>
    </w:p>
    <w:p w14:paraId="1DF1809A" w14:textId="77777777" w:rsidR="00DE4B43" w:rsidRDefault="00DE4B43" w:rsidP="00DE4B43">
      <w:pPr>
        <w:spacing w:after="0" w:line="240" w:lineRule="auto"/>
        <w:jc w:val="both"/>
      </w:pPr>
      <w:r>
        <w:rPr>
          <w:rFonts w:ascii="Arial" w:hAnsi="Arial" w:cs="Arial"/>
        </w:rPr>
        <w:t>Ahora bien, en cuanto a su solicitud, en donde solicitó: “</w:t>
      </w:r>
      <w:r>
        <w:rPr>
          <w:rFonts w:ascii="Arial" w:hAnsi="Arial" w:cs="Arial"/>
          <w:i/>
          <w:iCs/>
        </w:rPr>
        <w:t>Buenos días señores Secretaría Distrital del Hábitat; Solicito de su amable colaboración indicándome cual es el proceso para el cobro y desembolso de los subsidios de vivienda otorgados por ustedes. Quedo atenta a sus comentarios para proceder con dichos cobros y a los tiempos establecidos para dichos desembolsos. Agradezco su atención.”</w:t>
      </w:r>
      <w:r>
        <w:rPr>
          <w:rFonts w:ascii="Arial" w:hAnsi="Arial" w:cs="Arial"/>
        </w:rPr>
        <w:t xml:space="preserve"> (SIC), </w:t>
      </w:r>
      <w:r>
        <w:rPr>
          <w:rFonts w:ascii="Arial" w:hAnsi="Arial" w:cs="Arial"/>
          <w:lang w:val="es-ES_tradnl"/>
        </w:rPr>
        <w:t>se brinda respuesta de fondo dentro del término legal para el efecto señalando lo siguiente:</w:t>
      </w:r>
    </w:p>
    <w:p w14:paraId="54DF4373" w14:textId="77777777" w:rsidR="00DE4B43" w:rsidRDefault="00DE4B43" w:rsidP="00DE4B43">
      <w:pPr>
        <w:spacing w:after="0" w:line="240" w:lineRule="auto"/>
        <w:jc w:val="both"/>
        <w:rPr>
          <w:rFonts w:ascii="Arial" w:hAnsi="Arial" w:cs="Arial"/>
        </w:rPr>
      </w:pPr>
    </w:p>
    <w:p w14:paraId="142B72C3" w14:textId="77777777" w:rsidR="00DE4B43" w:rsidRDefault="00DE4B43" w:rsidP="00DE4B43">
      <w:pPr>
        <w:spacing w:after="0" w:line="240" w:lineRule="auto"/>
        <w:jc w:val="both"/>
        <w:rPr>
          <w:rFonts w:ascii="Arial" w:hAnsi="Arial" w:cs="Arial"/>
        </w:rPr>
      </w:pPr>
      <w:r>
        <w:rPr>
          <w:rFonts w:ascii="Arial" w:hAnsi="Arial" w:cs="Arial"/>
        </w:rPr>
        <w:t>Le informamos que el artículo 4 de la Resolución 500 del 25 de septiembre de 2024 “</w:t>
      </w:r>
      <w:r>
        <w:rPr>
          <w:rFonts w:ascii="Arial" w:hAnsi="Arial" w:cs="Arial"/>
          <w:i/>
          <w:iCs/>
        </w:rPr>
        <w:t>Por medio del cual se modifica parcialmente la Resolución 262 de 2014” “Por medio de la cual se adopta la reglamentación del Programa de Subsidio Distrital de Vivienda “Reactiva tu compra, Reactiva tu Hogar</w:t>
      </w:r>
      <w:r>
        <w:rPr>
          <w:rFonts w:ascii="Arial" w:hAnsi="Arial" w:cs="Arial"/>
        </w:rPr>
        <w:t xml:space="preserve">””, establece la Vigencia del Subsidio Distrital de vivienda, así: </w:t>
      </w:r>
    </w:p>
    <w:p w14:paraId="61DE7077" w14:textId="77777777" w:rsidR="00DE4B43" w:rsidRDefault="00DE4B43" w:rsidP="00DE4B43">
      <w:pPr>
        <w:spacing w:after="0" w:line="240" w:lineRule="auto"/>
        <w:jc w:val="both"/>
        <w:rPr>
          <w:rFonts w:ascii="Arial" w:hAnsi="Arial" w:cs="Arial"/>
          <w:sz w:val="20"/>
          <w:szCs w:val="20"/>
        </w:rPr>
      </w:pPr>
    </w:p>
    <w:p w14:paraId="2D8D65F7" w14:textId="77777777" w:rsidR="00DE4B43" w:rsidRDefault="00DE4B43" w:rsidP="00DE4B43">
      <w:pPr>
        <w:spacing w:after="0" w:line="240" w:lineRule="auto"/>
        <w:ind w:left="720"/>
        <w:jc w:val="both"/>
        <w:rPr>
          <w:rFonts w:ascii="Arial" w:hAnsi="Arial" w:cs="Arial"/>
          <w:sz w:val="20"/>
          <w:szCs w:val="20"/>
        </w:rPr>
      </w:pPr>
      <w:r>
        <w:rPr>
          <w:rFonts w:ascii="Arial" w:hAnsi="Arial" w:cs="Arial"/>
        </w:rPr>
        <w:t>“</w:t>
      </w:r>
      <w:r>
        <w:rPr>
          <w:rFonts w:ascii="Arial" w:hAnsi="Arial" w:cs="Arial"/>
          <w:sz w:val="20"/>
          <w:szCs w:val="20"/>
        </w:rPr>
        <w:t>Artículo 4. Modificar el artículo 17 de la Resolución 262 de 2024, la cual quedará así:</w:t>
      </w:r>
    </w:p>
    <w:p w14:paraId="248D7B51" w14:textId="77777777" w:rsidR="00DE4B43" w:rsidRDefault="00DE4B43" w:rsidP="00DE4B43">
      <w:pPr>
        <w:spacing w:after="0" w:line="240" w:lineRule="auto"/>
        <w:jc w:val="both"/>
        <w:rPr>
          <w:rFonts w:ascii="Arial" w:hAnsi="Arial" w:cs="Arial"/>
          <w:sz w:val="20"/>
          <w:szCs w:val="20"/>
        </w:rPr>
      </w:pPr>
    </w:p>
    <w:p w14:paraId="62C089F2" w14:textId="77777777" w:rsidR="00DE4B43" w:rsidRDefault="00DE4B43" w:rsidP="00DE4B43">
      <w:pPr>
        <w:spacing w:after="0" w:line="240" w:lineRule="auto"/>
        <w:ind w:left="720"/>
        <w:jc w:val="both"/>
        <w:rPr>
          <w:rFonts w:ascii="Arial" w:hAnsi="Arial" w:cs="Arial"/>
          <w:sz w:val="18"/>
          <w:szCs w:val="18"/>
        </w:rPr>
      </w:pPr>
      <w:proofErr w:type="spellStart"/>
      <w:r>
        <w:rPr>
          <w:rFonts w:ascii="Arial" w:hAnsi="Arial" w:cs="Arial"/>
          <w:sz w:val="20"/>
          <w:szCs w:val="20"/>
        </w:rPr>
        <w:t>°</w:t>
      </w:r>
      <w:r>
        <w:rPr>
          <w:rFonts w:ascii="Arial" w:hAnsi="Arial" w:cs="Arial"/>
          <w:sz w:val="18"/>
          <w:szCs w:val="18"/>
        </w:rPr>
        <w:t>Artículo</w:t>
      </w:r>
      <w:proofErr w:type="spellEnd"/>
      <w:r>
        <w:rPr>
          <w:rFonts w:ascii="Arial" w:hAnsi="Arial" w:cs="Arial"/>
          <w:sz w:val="18"/>
          <w:szCs w:val="18"/>
        </w:rPr>
        <w:t xml:space="preserve"> 17. </w:t>
      </w:r>
      <w:r>
        <w:rPr>
          <w:rFonts w:ascii="Arial" w:hAnsi="Arial" w:cs="Arial"/>
          <w:b/>
          <w:bCs/>
          <w:sz w:val="18"/>
          <w:szCs w:val="18"/>
        </w:rPr>
        <w:t>Vigencia del Subsidio Distrital de Vivienda</w:t>
      </w:r>
      <w:r>
        <w:rPr>
          <w:rFonts w:ascii="Arial" w:hAnsi="Arial" w:cs="Arial"/>
          <w:sz w:val="18"/>
          <w:szCs w:val="18"/>
        </w:rPr>
        <w:t xml:space="preserve">. El Subsidio Distrital de Vivienda tendrá una vigencia de doce (12) meses calendario, contados desde el primer día del mes siguiente a la fecha de expedición del acto administrativo de asignación.”. </w:t>
      </w:r>
    </w:p>
    <w:p w14:paraId="0F78F99C" w14:textId="77777777" w:rsidR="00DE4B43" w:rsidRDefault="00DE4B43" w:rsidP="00DE4B43">
      <w:pPr>
        <w:spacing w:after="0" w:line="240" w:lineRule="auto"/>
        <w:jc w:val="both"/>
        <w:rPr>
          <w:rFonts w:ascii="Arial" w:hAnsi="Arial" w:cs="Arial"/>
          <w:sz w:val="18"/>
          <w:szCs w:val="18"/>
        </w:rPr>
      </w:pPr>
    </w:p>
    <w:p w14:paraId="2F0C9058" w14:textId="77777777" w:rsidR="00DE4B43" w:rsidRDefault="00DE4B43" w:rsidP="00DE4B43">
      <w:pPr>
        <w:spacing w:after="0" w:line="240" w:lineRule="auto"/>
        <w:jc w:val="both"/>
        <w:rPr>
          <w:rFonts w:ascii="Arial" w:hAnsi="Arial" w:cs="Arial"/>
        </w:rPr>
      </w:pPr>
      <w:r>
        <w:rPr>
          <w:rFonts w:ascii="Arial" w:hAnsi="Arial" w:cs="Arial"/>
          <w:color w:val="0D0D0D" w:themeColor="text1" w:themeTint="F2"/>
        </w:rPr>
        <w:t xml:space="preserve">Asimismo, </w:t>
      </w:r>
      <w:r>
        <w:rPr>
          <w:rFonts w:ascii="Arial" w:hAnsi="Arial" w:cs="Arial"/>
        </w:rPr>
        <w:t xml:space="preserve">el artículo 5 de la Resolución 500 de 2024 establece los requisitos para la legalización y Desembolso del Subsidio Distrital de Vivienda, así: </w:t>
      </w:r>
    </w:p>
    <w:p w14:paraId="100A3C11" w14:textId="77777777" w:rsidR="00DE4B43" w:rsidRDefault="00DE4B43" w:rsidP="00DE4B43">
      <w:pPr>
        <w:spacing w:after="0" w:line="240" w:lineRule="auto"/>
        <w:ind w:left="720"/>
        <w:jc w:val="both"/>
        <w:rPr>
          <w:rFonts w:ascii="Arial" w:hAnsi="Arial" w:cs="Arial"/>
          <w:sz w:val="20"/>
          <w:szCs w:val="20"/>
        </w:rPr>
      </w:pPr>
      <w:r>
        <w:rPr>
          <w:rFonts w:ascii="Arial" w:hAnsi="Arial" w:cs="Arial"/>
        </w:rPr>
        <w:br/>
        <w:t>“</w:t>
      </w:r>
      <w:r>
        <w:rPr>
          <w:rFonts w:ascii="Arial" w:hAnsi="Arial" w:cs="Arial"/>
          <w:sz w:val="20"/>
          <w:szCs w:val="20"/>
        </w:rPr>
        <w:t>Artículo 5. Modificar el artículo 19 de la Resolución 262 de 2024, la cual quedará así:</w:t>
      </w:r>
    </w:p>
    <w:p w14:paraId="73AEFF36" w14:textId="77777777" w:rsidR="00DE4B43" w:rsidRDefault="00DE4B43" w:rsidP="00DE4B43">
      <w:pPr>
        <w:spacing w:after="0" w:line="240" w:lineRule="auto"/>
        <w:jc w:val="both"/>
        <w:rPr>
          <w:rFonts w:ascii="Arial" w:hAnsi="Arial" w:cs="Arial"/>
          <w:sz w:val="20"/>
          <w:szCs w:val="20"/>
        </w:rPr>
      </w:pPr>
    </w:p>
    <w:p w14:paraId="1B81ACCF" w14:textId="77777777" w:rsidR="00DE4B43" w:rsidRDefault="00DE4B43" w:rsidP="00DE4B43">
      <w:pPr>
        <w:spacing w:after="0" w:line="240" w:lineRule="auto"/>
        <w:ind w:left="720"/>
        <w:jc w:val="both"/>
        <w:rPr>
          <w:rFonts w:ascii="Arial" w:hAnsi="Arial" w:cs="Arial"/>
          <w:sz w:val="18"/>
          <w:szCs w:val="18"/>
        </w:rPr>
      </w:pPr>
      <w:r>
        <w:rPr>
          <w:rFonts w:ascii="Arial" w:hAnsi="Arial" w:cs="Arial"/>
          <w:sz w:val="18"/>
          <w:szCs w:val="18"/>
        </w:rPr>
        <w:t xml:space="preserve">"Artículo 19. </w:t>
      </w:r>
      <w:r>
        <w:rPr>
          <w:rFonts w:ascii="Arial" w:hAnsi="Arial" w:cs="Arial"/>
          <w:b/>
          <w:bCs/>
          <w:sz w:val="18"/>
          <w:szCs w:val="18"/>
        </w:rPr>
        <w:t>Requisitos para la legalización y desembolso del Subsidio Distrital de Vivienda</w:t>
      </w:r>
      <w:r>
        <w:rPr>
          <w:rFonts w:ascii="Arial" w:hAnsi="Arial" w:cs="Arial"/>
          <w:sz w:val="18"/>
          <w:szCs w:val="18"/>
        </w:rPr>
        <w:t>. El enajenador deberá adjuntar la siguiente documentación en el SUAV:</w:t>
      </w:r>
    </w:p>
    <w:p w14:paraId="58CF5425" w14:textId="77777777" w:rsidR="00DE4B43" w:rsidRDefault="00DE4B43" w:rsidP="00DE4B43">
      <w:pPr>
        <w:pStyle w:val="Prrafodelista"/>
        <w:numPr>
          <w:ilvl w:val="1"/>
          <w:numId w:val="1"/>
        </w:numPr>
        <w:spacing w:after="0" w:line="240" w:lineRule="auto"/>
        <w:jc w:val="both"/>
        <w:rPr>
          <w:sz w:val="18"/>
          <w:szCs w:val="18"/>
        </w:rPr>
      </w:pPr>
      <w:r>
        <w:rPr>
          <w:rFonts w:ascii="Arial" w:hAnsi="Arial" w:cs="Arial"/>
          <w:sz w:val="18"/>
          <w:szCs w:val="18"/>
        </w:rPr>
        <w:t>Copia de la Escritura Pública de adquisición del inmueble, debidamente registrada, donde se evidencie que la cláusula de forma de pago incorpora la aplicación del Subsidio Distrital de Vivienda,</w:t>
      </w:r>
    </w:p>
    <w:p w14:paraId="24DBEC34" w14:textId="77777777" w:rsidR="00DE4B43" w:rsidRDefault="00DE4B43" w:rsidP="00DE4B43">
      <w:pPr>
        <w:pStyle w:val="Prrafodelista"/>
        <w:numPr>
          <w:ilvl w:val="1"/>
          <w:numId w:val="1"/>
        </w:numPr>
        <w:spacing w:after="0" w:line="240" w:lineRule="auto"/>
        <w:jc w:val="both"/>
        <w:rPr>
          <w:sz w:val="18"/>
          <w:szCs w:val="18"/>
        </w:rPr>
      </w:pPr>
      <w:r>
        <w:rPr>
          <w:rFonts w:ascii="Arial" w:hAnsi="Arial" w:cs="Arial"/>
          <w:sz w:val="18"/>
          <w:szCs w:val="18"/>
        </w:rPr>
        <w:lastRenderedPageBreak/>
        <w:t>Certificado de tradición y libertad del inmueble en donde se evidencia la anotación referente a la escritura pública de la transferencia en donde se aplicó el Subsidio Distrital de Vivienda.</w:t>
      </w:r>
    </w:p>
    <w:p w14:paraId="24015BC9" w14:textId="77777777" w:rsidR="00DE4B43" w:rsidRDefault="00DE4B43" w:rsidP="00DE4B43">
      <w:pPr>
        <w:pStyle w:val="Prrafodelista"/>
        <w:numPr>
          <w:ilvl w:val="1"/>
          <w:numId w:val="1"/>
        </w:numPr>
        <w:spacing w:after="0" w:line="240" w:lineRule="auto"/>
        <w:jc w:val="both"/>
        <w:rPr>
          <w:rFonts w:ascii="Arial" w:hAnsi="Arial" w:cs="Arial"/>
          <w:sz w:val="18"/>
          <w:szCs w:val="18"/>
        </w:rPr>
      </w:pPr>
      <w:r>
        <w:rPr>
          <w:rFonts w:ascii="Arial" w:hAnsi="Arial" w:cs="Arial"/>
          <w:sz w:val="18"/>
          <w:szCs w:val="18"/>
        </w:rPr>
        <w:t>Certificado de existencia y representación legal del titular de la cuenta a la que se realizará el giro de los recursos, con fecha de expedición no mayor a sesenta (60) días.</w:t>
      </w:r>
    </w:p>
    <w:p w14:paraId="632B0024" w14:textId="77777777" w:rsidR="00DE4B43" w:rsidRDefault="00DE4B43" w:rsidP="00DE4B43">
      <w:pPr>
        <w:pStyle w:val="Prrafodelista"/>
        <w:numPr>
          <w:ilvl w:val="1"/>
          <w:numId w:val="1"/>
        </w:numPr>
        <w:spacing w:after="0" w:line="240" w:lineRule="auto"/>
        <w:jc w:val="both"/>
        <w:rPr>
          <w:sz w:val="18"/>
          <w:szCs w:val="18"/>
        </w:rPr>
      </w:pPr>
      <w:r>
        <w:rPr>
          <w:rFonts w:ascii="Arial" w:hAnsi="Arial" w:cs="Arial"/>
          <w:sz w:val="18"/>
          <w:szCs w:val="18"/>
        </w:rPr>
        <w:t>Documento de identificación del representante legal y del titular de la cuenta en la que se realizará el giro de los recursos.</w:t>
      </w:r>
    </w:p>
    <w:p w14:paraId="03B141EB" w14:textId="77777777" w:rsidR="00DE4B43" w:rsidRDefault="00DE4B43" w:rsidP="00DE4B43">
      <w:pPr>
        <w:pStyle w:val="Prrafodelista"/>
        <w:numPr>
          <w:ilvl w:val="1"/>
          <w:numId w:val="1"/>
        </w:numPr>
        <w:spacing w:after="0" w:line="240" w:lineRule="auto"/>
        <w:jc w:val="both"/>
        <w:rPr>
          <w:sz w:val="18"/>
          <w:szCs w:val="18"/>
        </w:rPr>
      </w:pPr>
      <w:r>
        <w:rPr>
          <w:rFonts w:ascii="Arial" w:hAnsi="Arial" w:cs="Arial"/>
          <w:sz w:val="18"/>
          <w:szCs w:val="18"/>
        </w:rPr>
        <w:t>Certificación bancaria y de la cuenta en la que se realizará el giro de los recursos con fecha de expedición no mayor a treinta (30) días.</w:t>
      </w:r>
    </w:p>
    <w:p w14:paraId="423A89DF" w14:textId="77777777" w:rsidR="00DE4B43" w:rsidRDefault="00DE4B43" w:rsidP="00DE4B43">
      <w:pPr>
        <w:pStyle w:val="Prrafodelista"/>
        <w:numPr>
          <w:ilvl w:val="1"/>
          <w:numId w:val="1"/>
        </w:numPr>
        <w:spacing w:after="0" w:line="240" w:lineRule="auto"/>
        <w:jc w:val="both"/>
        <w:rPr>
          <w:rFonts w:ascii="Arial" w:hAnsi="Arial" w:cs="Arial"/>
          <w:sz w:val="18"/>
          <w:szCs w:val="18"/>
        </w:rPr>
      </w:pPr>
      <w:r>
        <w:rPr>
          <w:rFonts w:ascii="Arial" w:hAnsi="Arial" w:cs="Arial"/>
          <w:sz w:val="18"/>
          <w:szCs w:val="18"/>
        </w:rPr>
        <w:t xml:space="preserve">Registro </w:t>
      </w:r>
      <w:proofErr w:type="spellStart"/>
      <w:r>
        <w:rPr>
          <w:rFonts w:ascii="Arial" w:hAnsi="Arial" w:cs="Arial"/>
          <w:sz w:val="18"/>
          <w:szCs w:val="18"/>
        </w:rPr>
        <w:t>Unico</w:t>
      </w:r>
      <w:proofErr w:type="spellEnd"/>
      <w:r>
        <w:rPr>
          <w:rFonts w:ascii="Arial" w:hAnsi="Arial" w:cs="Arial"/>
          <w:sz w:val="18"/>
          <w:szCs w:val="18"/>
        </w:rPr>
        <w:t xml:space="preserve"> Tributario (RUT)."</w:t>
      </w:r>
    </w:p>
    <w:p w14:paraId="5AC7FE03" w14:textId="77777777" w:rsidR="00DE4B43" w:rsidRDefault="00DE4B43" w:rsidP="00DE4B43">
      <w:pPr>
        <w:spacing w:after="0" w:line="240" w:lineRule="auto"/>
        <w:jc w:val="both"/>
        <w:rPr>
          <w:rFonts w:ascii="Arial" w:hAnsi="Arial" w:cs="Arial"/>
          <w:lang w:val="es-ES_tradnl"/>
        </w:rPr>
      </w:pPr>
    </w:p>
    <w:p w14:paraId="4568964D" w14:textId="77777777" w:rsidR="00DE4B43" w:rsidRDefault="00DE4B43" w:rsidP="00DE4B43">
      <w:pPr>
        <w:spacing w:line="240" w:lineRule="auto"/>
        <w:jc w:val="both"/>
        <w:rPr>
          <w:rFonts w:ascii="Arial" w:hAnsi="Arial" w:cs="Arial"/>
        </w:rPr>
      </w:pPr>
      <w:r>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Pr>
          <w:rFonts w:ascii="Arial" w:hAnsi="Arial" w:cs="Arial"/>
          <w:i/>
          <w:iCs/>
          <w:color w:val="0D0D0D" w:themeColor="text1" w:themeTint="F2"/>
          <w:lang w:val="es-CO" w:eastAsia="es-CO"/>
        </w:rPr>
        <w:t>“Bogotá te Escucha”</w:t>
      </w:r>
      <w:r>
        <w:rPr>
          <w:rFonts w:ascii="Arial" w:hAnsi="Arial" w:cs="Arial"/>
          <w:color w:val="0D0D0D" w:themeColor="text1" w:themeTint="F2"/>
          <w:lang w:val="es-CO" w:eastAsia="es-CO"/>
        </w:rPr>
        <w:t xml:space="preserve">, y al correo electrónico:  </w:t>
      </w:r>
      <w:hyperlink r:id="rId9" w:tooltip="mailto:ventanilladecorrespondencia@habitatbogota.gov.co" w:history="1">
        <w:r>
          <w:rPr>
            <w:rStyle w:val="Hipervnculo"/>
            <w:rFonts w:ascii="Arial" w:hAnsi="Arial" w:cs="Arial"/>
          </w:rPr>
          <w:t>ventanilladecorrespondencia@habitatbogota.gov.co</w:t>
        </w:r>
      </w:hyperlink>
    </w:p>
    <w:p w14:paraId="7DBA0C21" w14:textId="585AE050" w:rsidR="00E55366" w:rsidRDefault="00DE4B43" w:rsidP="00DE4B43">
      <w:pPr>
        <w:spacing w:after="0" w:line="240" w:lineRule="auto"/>
        <w:rPr>
          <w:rFonts w:ascii="Arial" w:hAnsi="Arial" w:cs="Arial"/>
        </w:rPr>
      </w:pPr>
      <w:r>
        <w:rPr>
          <w:rFonts w:ascii="Arial" w:hAnsi="Arial" w:cs="Arial"/>
        </w:rPr>
        <w:t>Cordialmente,</w:t>
      </w:r>
    </w:p>
    <w:p w14:paraId="4DC37436" w14:textId="3A962360" w:rsidR="00142D47" w:rsidRDefault="00142D47" w:rsidP="001C79EC">
      <w:pPr>
        <w:spacing w:after="0"/>
        <w:rPr>
          <w:rFonts w:ascii="Arial" w:hAnsi="Arial" w:cs="Arial"/>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9D650" w14:textId="77777777" w:rsidR="00F95CFC" w:rsidRDefault="00F95CFC">
      <w:pPr>
        <w:spacing w:after="0" w:line="240" w:lineRule="auto"/>
      </w:pPr>
      <w:r>
        <w:separator/>
      </w:r>
    </w:p>
  </w:endnote>
  <w:endnote w:type="continuationSeparator" w:id="0">
    <w:p w14:paraId="1070A9D2" w14:textId="77777777" w:rsidR="00F95CFC" w:rsidRDefault="00F95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E4B4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E4B43">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9FEC9C" w14:textId="77777777" w:rsidR="00F95CFC" w:rsidRDefault="00F95CFC">
      <w:pPr>
        <w:spacing w:after="0" w:line="240" w:lineRule="auto"/>
      </w:pPr>
      <w:r>
        <w:separator/>
      </w:r>
    </w:p>
  </w:footnote>
  <w:footnote w:type="continuationSeparator" w:id="0">
    <w:p w14:paraId="2D4518B5" w14:textId="77777777" w:rsidR="00F95CFC" w:rsidRDefault="00F95C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B561C"/>
    <w:multiLevelType w:val="multilevel"/>
    <w:tmpl w:val="8110D9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DE4B43"/>
    <w:rsid w:val="00E55366"/>
    <w:rsid w:val="00E86478"/>
    <w:rsid w:val="00F214D2"/>
    <w:rsid w:val="00F43DC0"/>
    <w:rsid w:val="00F75FAB"/>
    <w:rsid w:val="00F845E4"/>
    <w:rsid w:val="00F95CFC"/>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E4B43"/>
    <w:pPr>
      <w:suppressAutoHyphens w:val="0"/>
      <w:ind w:left="720"/>
      <w:contextualSpacing/>
      <w:textAlignment w:val="auto"/>
    </w:pPr>
  </w:style>
  <w:style w:type="character" w:styleId="Hipervnculo">
    <w:name w:val="Hyperlink"/>
    <w:uiPriority w:val="99"/>
    <w:unhideWhenUsed/>
    <w:rsid w:val="00DE4B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E4B43"/>
    <w:pPr>
      <w:suppressAutoHyphens w:val="0"/>
      <w:ind w:left="720"/>
      <w:contextualSpacing/>
      <w:textAlignment w:val="auto"/>
    </w:pPr>
  </w:style>
  <w:style w:type="character" w:styleId="Hipervnculo">
    <w:name w:val="Hyperlink"/>
    <w:uiPriority w:val="99"/>
    <w:unhideWhenUsed/>
    <w:rsid w:val="00DE4B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C18F-C06A-4D1F-82F0-BF5EEA26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3285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2025-01-03T16:41:00Z</dcterms:created>
  <dcterms:modified xsi:type="dcterms:W3CDTF">2025-01-03T16:41:00Z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